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C54C1D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114300" distR="114300" wp14:anchorId="75D1928B" wp14:editId="03EFCD3E">
            <wp:extent cx="6096000" cy="861060"/>
            <wp:effectExtent l="0" t="0" r="0" b="0"/>
            <wp:docPr id="1027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861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82AB40" w14:textId="77777777" w:rsidR="005318AF" w:rsidRDefault="00000000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</w:rPr>
        <w:t xml:space="preserve">                                   AÇÃO PARA RECÁLCULO DE PENSÃO POR MORTE</w:t>
      </w:r>
    </w:p>
    <w:p w14:paraId="61F08FCA" w14:textId="77777777" w:rsidR="005318AF" w:rsidRDefault="005318A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ind w:left="0" w:hanging="2"/>
        <w:jc w:val="both"/>
        <w:rPr>
          <w:rFonts w:ascii="Calibri" w:eastAsia="Calibri" w:hAnsi="Calibri" w:cs="Calibri"/>
          <w:sz w:val="22"/>
          <w:szCs w:val="22"/>
        </w:rPr>
      </w:pPr>
    </w:p>
    <w:p w14:paraId="64C9148B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A reforma previdenciária estadual, orquestrada pela Emenda Constitucional nº 49/20 e pela Lei Complementar nº 1.354/20, alterou a forma de cálculo para pagamento da pensão por morte aos dependentes dos servidores públicos. </w:t>
      </w:r>
    </w:p>
    <w:p w14:paraId="1126025F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7A35C33C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            De acordo com as regras em vigor desde 07/03/2020, o valor da pensão por morte será de uma cota familiar de 50%, </w:t>
      </w:r>
      <w:r>
        <w:rPr>
          <w:rFonts w:ascii="Calibri" w:eastAsia="Calibri" w:hAnsi="Calibri" w:cs="Calibri"/>
          <w:b/>
        </w:rPr>
        <w:t>calculada sobre o valor dos proventos de aposentadoria do servidor falecido ou do que ele teria direito se fosse aposentado por incapacidade permanente na data do óbito</w:t>
      </w:r>
      <w:r>
        <w:rPr>
          <w:rFonts w:ascii="Calibri" w:eastAsia="Calibri" w:hAnsi="Calibri" w:cs="Calibri"/>
        </w:rPr>
        <w:t>, acrescida de quotas individuais de 10% para cada dependente do falecido, até o limite de 100%.</w:t>
      </w:r>
    </w:p>
    <w:p w14:paraId="7B8FD4FF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 </w:t>
      </w:r>
    </w:p>
    <w:p w14:paraId="57EB32BF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               Ocorre que, ao realizar o cálculo da pensão por morte dos novos pensionistas, a SPPREV está considerando o </w:t>
      </w:r>
      <w:r>
        <w:rPr>
          <w:rFonts w:ascii="Calibri" w:eastAsia="Calibri" w:hAnsi="Calibri" w:cs="Calibri"/>
          <w:b/>
          <w:u w:val="single"/>
        </w:rPr>
        <w:t>valor do subsídio do Governador (atualmente, R$ 34.572,89</w:t>
      </w:r>
      <w:r>
        <w:rPr>
          <w:rFonts w:ascii="Calibri" w:eastAsia="Calibri" w:hAnsi="Calibri" w:cs="Calibri"/>
          <w:b/>
        </w:rPr>
        <w:t xml:space="preserve">) </w:t>
      </w:r>
      <w:r>
        <w:rPr>
          <w:rFonts w:ascii="Calibri" w:eastAsia="Calibri" w:hAnsi="Calibri" w:cs="Calibri"/>
        </w:rPr>
        <w:t xml:space="preserve">como base de cálculo do benefício de pensão, </w:t>
      </w:r>
      <w:r>
        <w:rPr>
          <w:rFonts w:ascii="Calibri" w:eastAsia="Calibri" w:hAnsi="Calibri" w:cs="Calibri"/>
          <w:b/>
        </w:rPr>
        <w:t xml:space="preserve">e não </w:t>
      </w:r>
      <w:r>
        <w:rPr>
          <w:rFonts w:ascii="Calibri" w:eastAsia="Calibri" w:hAnsi="Calibri" w:cs="Calibri"/>
          <w:b/>
          <w:u w:val="single"/>
        </w:rPr>
        <w:t>o valor total da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  <w:b/>
          <w:u w:val="single"/>
        </w:rPr>
        <w:t>remuneração bruta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>do Auditor Fiscal de falecido. Esta forma de cálculo, adotada pela SPPREV, acaba diminuindo, consideravelmente, o valor da pensão por morte a ser percebido pelos pensionistas cujo instituidor da pensão tinha um salário bruto acima do subteto salarial vigente. </w:t>
      </w:r>
    </w:p>
    <w:p w14:paraId="7506A9D1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1BADAE5D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         Para combater esta ilegalidade, o Departamento Jurídico do </w:t>
      </w:r>
      <w:proofErr w:type="spellStart"/>
      <w:r>
        <w:rPr>
          <w:rFonts w:ascii="Calibri" w:eastAsia="Calibri" w:hAnsi="Calibri" w:cs="Calibri"/>
        </w:rPr>
        <w:t>Sinafresp</w:t>
      </w:r>
      <w:proofErr w:type="spellEnd"/>
      <w:r>
        <w:rPr>
          <w:rFonts w:ascii="Calibri" w:eastAsia="Calibri" w:hAnsi="Calibri" w:cs="Calibri"/>
        </w:rPr>
        <w:t xml:space="preserve"> desenvolveu uma ação individual que visa obter a declaração de ilegalidade do cálculo de benefício de pensão por morte efetuado pela SPPREV.  </w:t>
      </w:r>
    </w:p>
    <w:p w14:paraId="7106EDF0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1E30D52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</w:t>
      </w:r>
      <w:r>
        <w:rPr>
          <w:rFonts w:ascii="Calibri" w:eastAsia="Calibri" w:hAnsi="Calibri" w:cs="Calibri"/>
          <w:b/>
        </w:rPr>
        <w:t xml:space="preserve">Referida ação está disponível para todos os pensionistas, independente da data de instituição da pensão por morte, cujos proventos de pensão estão sendo calculados com base no subteto salarial e não na remuneração bruta do </w:t>
      </w:r>
      <w:proofErr w:type="spellStart"/>
      <w:r>
        <w:rPr>
          <w:rFonts w:ascii="Calibri" w:eastAsia="Calibri" w:hAnsi="Calibri" w:cs="Calibri"/>
          <w:b/>
        </w:rPr>
        <w:t>AFRe</w:t>
      </w:r>
      <w:proofErr w:type="spellEnd"/>
      <w:r>
        <w:rPr>
          <w:rFonts w:ascii="Calibri" w:eastAsia="Calibri" w:hAnsi="Calibri" w:cs="Calibri"/>
          <w:b/>
        </w:rPr>
        <w:t xml:space="preserve"> falecido</w:t>
      </w:r>
      <w:r>
        <w:rPr>
          <w:rFonts w:ascii="Calibri" w:eastAsia="Calibri" w:hAnsi="Calibri" w:cs="Calibri"/>
        </w:rPr>
        <w:t xml:space="preserve">. </w:t>
      </w:r>
    </w:p>
    <w:p w14:paraId="6E82C373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</w:t>
      </w:r>
    </w:p>
    <w:p w14:paraId="2359B1BF" w14:textId="77777777" w:rsidR="00617872" w:rsidRDefault="00617872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2991099E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C2AA92C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                                                          </w:t>
      </w:r>
      <w:r>
        <w:rPr>
          <w:rFonts w:ascii="Calibri" w:eastAsia="Calibri" w:hAnsi="Calibri" w:cs="Calibri"/>
          <w:b/>
          <w:color w:val="FF0000"/>
          <w:u w:val="single"/>
        </w:rPr>
        <w:t>OBSERVAÇÕES IMPORTANTES</w:t>
      </w:r>
      <w:r>
        <w:rPr>
          <w:rFonts w:ascii="Calibri" w:eastAsia="Calibri" w:hAnsi="Calibri" w:cs="Calibri"/>
          <w:color w:val="FF0000"/>
        </w:rPr>
        <w:t>:</w:t>
      </w:r>
    </w:p>
    <w:p w14:paraId="26015CF1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A demanda poderá, a critério do filiado, ser proposta por meio de um </w:t>
      </w:r>
      <w:r>
        <w:rPr>
          <w:rFonts w:ascii="Calibri" w:eastAsia="Calibri" w:hAnsi="Calibri" w:cs="Calibri"/>
          <w:b/>
        </w:rPr>
        <w:t>Mandado de Segurança</w:t>
      </w:r>
      <w:r>
        <w:rPr>
          <w:rFonts w:ascii="Calibri" w:eastAsia="Calibri" w:hAnsi="Calibri" w:cs="Calibri"/>
        </w:rPr>
        <w:t xml:space="preserve">, para o qual serão cobradas as diferenças de pensão apenas </w:t>
      </w:r>
      <w:r>
        <w:rPr>
          <w:rFonts w:ascii="Calibri" w:eastAsia="Calibri" w:hAnsi="Calibri" w:cs="Calibri"/>
          <w:b/>
          <w:u w:val="single"/>
        </w:rPr>
        <w:t>a partir da distribuição da ação</w:t>
      </w:r>
      <w:r>
        <w:rPr>
          <w:rFonts w:ascii="Calibri" w:eastAsia="Calibri" w:hAnsi="Calibri" w:cs="Calibri"/>
        </w:rPr>
        <w:t xml:space="preserve">, ou de uma </w:t>
      </w:r>
      <w:r>
        <w:rPr>
          <w:rFonts w:ascii="Calibri" w:eastAsia="Calibri" w:hAnsi="Calibri" w:cs="Calibri"/>
          <w:b/>
        </w:rPr>
        <w:t>Ação Ordinária</w:t>
      </w:r>
      <w:r>
        <w:rPr>
          <w:rFonts w:ascii="Calibri" w:eastAsia="Calibri" w:hAnsi="Calibri" w:cs="Calibri"/>
        </w:rPr>
        <w:t>,</w:t>
      </w:r>
      <w:r>
        <w:rPr>
          <w:rFonts w:ascii="Calibri" w:eastAsia="Calibri" w:hAnsi="Calibri" w:cs="Calibri"/>
          <w:b/>
        </w:rPr>
        <w:t xml:space="preserve"> </w:t>
      </w:r>
      <w:r>
        <w:rPr>
          <w:rFonts w:ascii="Calibri" w:eastAsia="Calibri" w:hAnsi="Calibri" w:cs="Calibri"/>
        </w:rPr>
        <w:t xml:space="preserve">onde </w:t>
      </w:r>
      <w:r>
        <w:rPr>
          <w:rFonts w:ascii="Calibri" w:eastAsia="Calibri" w:hAnsi="Calibri" w:cs="Calibri"/>
          <w:b/>
          <w:u w:val="single"/>
        </w:rPr>
        <w:t>poderão ser cobradas, além das diferenças de pensão a partir da distribuição da ação, as diferenças dos 05 anos anteriores ao ajuizamento</w:t>
      </w:r>
      <w:r>
        <w:rPr>
          <w:rFonts w:ascii="Calibri" w:eastAsia="Calibri" w:hAnsi="Calibri" w:cs="Calibri"/>
        </w:rPr>
        <w:t>.     </w:t>
      </w:r>
    </w:p>
    <w:p w14:paraId="1D5741E6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787DECF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No procedimento do </w:t>
      </w:r>
      <w:r>
        <w:rPr>
          <w:rFonts w:ascii="Calibri" w:eastAsia="Calibri" w:hAnsi="Calibri" w:cs="Calibri"/>
          <w:b/>
          <w:u w:val="single"/>
        </w:rPr>
        <w:t>Mandado de Segurança</w:t>
      </w:r>
      <w:r>
        <w:rPr>
          <w:rFonts w:ascii="Calibri" w:eastAsia="Calibri" w:hAnsi="Calibri" w:cs="Calibri"/>
        </w:rPr>
        <w:t xml:space="preserve">, não há condenação sucumbencial, de modo que não haverá risco; no caso de eventual improcedência da ação, o autor não terá que realizar o pagamento de honorários sucumbenciais para a Procuradoria do Estado. </w:t>
      </w:r>
    </w:p>
    <w:p w14:paraId="727B8543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07B441EC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Caso opte pelo Mandado de Segurança, o filiado terá que recolher, no momento da impetração do mandado de segurança, custas iniciais de 1%, calculadas sobre o valor da ação e eventuais despesas processuais. Reitera-se que, no mandado de segurança, só poderão ser cobradas as diferenças de pensão a partir da distribuição da ação. </w:t>
      </w:r>
    </w:p>
    <w:p w14:paraId="2951A179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3BAC7546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No procedimento da </w:t>
      </w:r>
      <w:r>
        <w:rPr>
          <w:rFonts w:ascii="Calibri" w:eastAsia="Calibri" w:hAnsi="Calibri" w:cs="Calibri"/>
          <w:b/>
        </w:rPr>
        <w:t>Ação Ordinária</w:t>
      </w:r>
      <w:r>
        <w:rPr>
          <w:rFonts w:ascii="Calibri" w:eastAsia="Calibri" w:hAnsi="Calibri" w:cs="Calibri"/>
        </w:rPr>
        <w:t xml:space="preserve">, o filiado poderá optar por ajuizar a ação no </w:t>
      </w:r>
      <w:r>
        <w:rPr>
          <w:rFonts w:ascii="Calibri" w:eastAsia="Calibri" w:hAnsi="Calibri" w:cs="Calibri"/>
          <w:b/>
          <w:u w:val="single"/>
        </w:rPr>
        <w:t>Juizado Especial da Fazenda Pública</w:t>
      </w:r>
      <w:r>
        <w:rPr>
          <w:rFonts w:ascii="Calibri" w:eastAsia="Calibri" w:hAnsi="Calibri" w:cs="Calibri"/>
        </w:rPr>
        <w:t xml:space="preserve">, onde poderá cobrar as diferenças de pensão que não excedam 60 </w:t>
      </w:r>
      <w:proofErr w:type="gramStart"/>
      <w:r>
        <w:rPr>
          <w:rFonts w:ascii="Calibri" w:eastAsia="Calibri" w:hAnsi="Calibri" w:cs="Calibri"/>
        </w:rPr>
        <w:t>salários mínimos</w:t>
      </w:r>
      <w:proofErr w:type="gramEnd"/>
      <w:r>
        <w:rPr>
          <w:rFonts w:ascii="Calibri" w:eastAsia="Calibri" w:hAnsi="Calibri" w:cs="Calibri"/>
        </w:rPr>
        <w:t xml:space="preserve"> vigentes (teto do juizado).  No Juizado Especial da Fazenda, não há risco de condenação sucumbencial em 1ª instância e não é necessário o recolhimento de custas para distribuir a ação. </w:t>
      </w:r>
    </w:p>
    <w:p w14:paraId="621BE1DC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62B4902F" w14:textId="77777777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  Só haverá risco de condenação sucumbencial, no Juizado Especial, no caso de o autor optar por recorrer de uma eventual sentença de improcedência. Na hipótese de recorrer de eventual sentença de improcedência, o autor deverá recolher as custas judiciais e haverá o risco de condenação sucumbencial caso seu recurso não seja provido.  </w:t>
      </w:r>
    </w:p>
    <w:p w14:paraId="440C3E0E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5DE893B3" w14:textId="097FC085" w:rsidR="00617872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     O filiado ainda pode optar por ajuizar a ação ordinária na </w:t>
      </w:r>
      <w:r>
        <w:rPr>
          <w:rFonts w:ascii="Calibri" w:eastAsia="Calibri" w:hAnsi="Calibri" w:cs="Calibri"/>
          <w:b/>
          <w:u w:val="single"/>
        </w:rPr>
        <w:t>vara comum</w:t>
      </w:r>
      <w:r>
        <w:rPr>
          <w:rFonts w:ascii="Calibri" w:eastAsia="Calibri" w:hAnsi="Calibri" w:cs="Calibri"/>
        </w:rPr>
        <w:t xml:space="preserve">, onde será necessário, para ajuizar a ação, o recolhimento das custas iniciais de 1% e onde existe, desde a 1ª instância, a possibilidade de condenação sucumbencial. A diferença de distribuir a ação na vara comum é que será possível ao filiado cobrar todas as diferenças de pensão devidas, sem se limitar ao teto de 60 </w:t>
      </w:r>
      <w:proofErr w:type="gramStart"/>
      <w:r>
        <w:rPr>
          <w:rFonts w:ascii="Calibri" w:eastAsia="Calibri" w:hAnsi="Calibri" w:cs="Calibri"/>
        </w:rPr>
        <w:t>salários mínimos</w:t>
      </w:r>
      <w:proofErr w:type="gramEnd"/>
      <w:r>
        <w:rPr>
          <w:rFonts w:ascii="Calibri" w:eastAsia="Calibri" w:hAnsi="Calibri" w:cs="Calibri"/>
        </w:rPr>
        <w:t>, como ocorre no Juizado Especial, e sem restringir a cobrança à data da distribuição da ação, como ocorre no mandado de</w:t>
      </w:r>
      <w:r w:rsidR="00617872">
        <w:rPr>
          <w:rFonts w:ascii="Calibri" w:eastAsia="Calibri" w:hAnsi="Calibri" w:cs="Calibri"/>
        </w:rPr>
        <w:t xml:space="preserve"> segurança.</w:t>
      </w:r>
    </w:p>
    <w:p w14:paraId="24B576E7" w14:textId="05095270" w:rsidR="005318AF" w:rsidRDefault="00000000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lastRenderedPageBreak/>
        <w:t xml:space="preserve"> </w:t>
      </w:r>
      <w:r>
        <w:rPr>
          <w:rFonts w:ascii="Calibri" w:eastAsia="Calibri" w:hAnsi="Calibri" w:cs="Calibri"/>
          <w:noProof/>
        </w:rPr>
        <w:drawing>
          <wp:inline distT="0" distB="0" distL="114300" distR="114300" wp14:anchorId="21A188FC" wp14:editId="4D10EDA2">
            <wp:extent cx="6096000" cy="861060"/>
            <wp:effectExtent l="0" t="0" r="0" b="0"/>
            <wp:docPr id="1028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861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9F5142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5AFD4CE8" w14:textId="77777777" w:rsidR="005318AF" w:rsidRDefault="00000000">
      <w:pPr>
        <w:spacing w:line="36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t>DOCUMENTAÇÃO</w:t>
      </w:r>
    </w:p>
    <w:p w14:paraId="427C4AC1" w14:textId="77777777" w:rsidR="005318AF" w:rsidRDefault="005318AF">
      <w:pPr>
        <w:spacing w:line="360" w:lineRule="auto"/>
        <w:ind w:left="0" w:hanging="2"/>
        <w:jc w:val="center"/>
        <w:rPr>
          <w:rFonts w:ascii="Calibri" w:eastAsia="Calibri" w:hAnsi="Calibri" w:cs="Calibri"/>
        </w:rPr>
      </w:pPr>
    </w:p>
    <w:p w14:paraId="354CAC39" w14:textId="77777777" w:rsidR="005318AF" w:rsidRDefault="00000000">
      <w:pPr>
        <w:tabs>
          <w:tab w:val="left" w:pos="851"/>
        </w:tabs>
        <w:spacing w:line="36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      A documentação indicada deverá ser encaminhada, preferencialmente, por e-mail, digitalizada em arquivo PDF, para o endereço eletrônico </w:t>
      </w:r>
      <w:r>
        <w:rPr>
          <w:rFonts w:ascii="Calibri" w:eastAsia="Calibri" w:hAnsi="Calibri" w:cs="Calibri"/>
          <w:b/>
          <w:u w:val="single"/>
        </w:rPr>
        <w:t>departamentojuridico@sinafresp.org.br</w:t>
      </w:r>
      <w:r>
        <w:rPr>
          <w:rFonts w:ascii="Calibri" w:eastAsia="Calibri" w:hAnsi="Calibri" w:cs="Calibri"/>
        </w:rPr>
        <w:t xml:space="preserve">. </w:t>
      </w:r>
    </w:p>
    <w:p w14:paraId="5977E5F1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tbl>
      <w:tblPr>
        <w:tblStyle w:val="a"/>
        <w:tblW w:w="8230" w:type="dxa"/>
        <w:tblInd w:w="851" w:type="dxa"/>
        <w:tblBorders>
          <w:top w:val="single" w:sz="24" w:space="0" w:color="000000"/>
          <w:left w:val="single" w:sz="24" w:space="0" w:color="000000"/>
          <w:bottom w:val="single" w:sz="24" w:space="0" w:color="000000"/>
          <w:right w:val="single" w:sz="24" w:space="0" w:color="000000"/>
          <w:insideH w:val="single" w:sz="24" w:space="0" w:color="000000"/>
          <w:insideV w:val="single" w:sz="2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30"/>
      </w:tblGrid>
      <w:tr w:rsidR="005318AF" w14:paraId="4B5F3452" w14:textId="77777777">
        <w:trPr>
          <w:trHeight w:val="3680"/>
        </w:trPr>
        <w:tc>
          <w:tcPr>
            <w:tcW w:w="8230" w:type="dxa"/>
            <w:tcBorders>
              <w:top w:val="single" w:sz="24" w:space="0" w:color="000000"/>
              <w:left w:val="single" w:sz="24" w:space="0" w:color="000000"/>
              <w:bottom w:val="single" w:sz="24" w:space="0" w:color="000000"/>
              <w:right w:val="single" w:sz="24" w:space="0" w:color="000000"/>
            </w:tcBorders>
          </w:tcPr>
          <w:p w14:paraId="67BD2338" w14:textId="77777777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right="-3246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 xml:space="preserve">  </w:t>
            </w:r>
          </w:p>
          <w:p w14:paraId="5DFCFEEC" w14:textId="3B8ABCA0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right="-3246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Procuração (modelo abaixo);</w:t>
            </w:r>
          </w:p>
          <w:p w14:paraId="4DCC8CEF" w14:textId="7105F209" w:rsidR="005318AF" w:rsidRDefault="00E1340A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</w:t>
            </w:r>
            <w:r>
              <w:rPr>
                <w:rFonts w:ascii="Calibri" w:eastAsia="Calibri" w:hAnsi="Calibri" w:cs="Calibri"/>
              </w:rPr>
              <w:t xml:space="preserve"> RG (cópia simples);</w:t>
            </w:r>
          </w:p>
          <w:p w14:paraId="3B478790" w14:textId="12B97D3B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CPF (cópia simples);</w:t>
            </w:r>
          </w:p>
          <w:p w14:paraId="422877E1" w14:textId="6F5717FF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Arial" w:eastAsia="Arial" w:hAnsi="Arial" w:cs="Arial"/>
              </w:rPr>
              <w:t xml:space="preserve"> ► </w:t>
            </w:r>
            <w:r>
              <w:rPr>
                <w:rFonts w:ascii="Calibri" w:eastAsia="Calibri" w:hAnsi="Calibri" w:cs="Calibri"/>
              </w:rPr>
              <w:t>Comprovante de residência;</w:t>
            </w:r>
          </w:p>
          <w:p w14:paraId="258BC10A" w14:textId="7B407EE1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</w:t>
            </w: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Cópia da certidão de óbito do servidor falecido;</w:t>
            </w:r>
          </w:p>
          <w:p w14:paraId="7D796F5A" w14:textId="77777777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Cópia dos holerites de pensão desde a instituição do benefício;</w:t>
            </w:r>
          </w:p>
          <w:p w14:paraId="36B1BDEA" w14:textId="77777777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Arial" w:eastAsia="Arial" w:hAnsi="Arial" w:cs="Arial"/>
              </w:rPr>
              <w:t>►</w:t>
            </w:r>
            <w:r>
              <w:rPr>
                <w:rFonts w:ascii="Calibri" w:eastAsia="Calibri" w:hAnsi="Calibri" w:cs="Calibri"/>
              </w:rPr>
              <w:t xml:space="preserve"> Cópia dos dois últimos holerites do servidor falecido;</w:t>
            </w:r>
          </w:p>
          <w:p w14:paraId="5BCF9B57" w14:textId="77777777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tabs>
                <w:tab w:val="left" w:pos="497"/>
              </w:tabs>
              <w:spacing w:line="360" w:lineRule="auto"/>
              <w:ind w:left="0" w:hanging="2"/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  </w:t>
            </w:r>
            <w:r>
              <w:rPr>
                <w:rFonts w:ascii="Arial" w:eastAsia="Arial" w:hAnsi="Arial" w:cs="Arial"/>
                <w:b/>
              </w:rPr>
              <w:t xml:space="preserve">► </w:t>
            </w:r>
            <w:r>
              <w:rPr>
                <w:rFonts w:ascii="Calibri" w:eastAsia="Calibri" w:hAnsi="Calibri" w:cs="Calibri"/>
              </w:rPr>
              <w:t>Cópia do pedido de ajuste do benefício e da negativa da SPPREV (se houver).</w:t>
            </w:r>
          </w:p>
          <w:p w14:paraId="46873092" w14:textId="77777777" w:rsidR="005318AF" w:rsidRDefault="00000000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spacing w:line="360" w:lineRule="auto"/>
              <w:ind w:left="0" w:hanging="2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 xml:space="preserve">  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1E66FB1E" w14:textId="77777777" w:rsidR="005318AF" w:rsidRDefault="005318AF">
      <w:pPr>
        <w:spacing w:line="360" w:lineRule="auto"/>
        <w:ind w:left="0" w:hanging="2"/>
        <w:jc w:val="both"/>
        <w:rPr>
          <w:rFonts w:ascii="Calibri" w:eastAsia="Calibri" w:hAnsi="Calibri" w:cs="Calibri"/>
        </w:rPr>
      </w:pPr>
    </w:p>
    <w:p w14:paraId="6FBC72C1" w14:textId="77777777" w:rsidR="005318AF" w:rsidRDefault="00000000">
      <w:pPr>
        <w:tabs>
          <w:tab w:val="left" w:pos="8789"/>
        </w:tabs>
        <w:spacing w:line="360" w:lineRule="auto"/>
        <w:ind w:left="1" w:right="991" w:hanging="3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sz w:val="26"/>
          <w:szCs w:val="26"/>
        </w:rPr>
        <w:t xml:space="preserve">       </w:t>
      </w:r>
      <w:r>
        <w:rPr>
          <w:rFonts w:ascii="Calibri" w:eastAsia="Calibri" w:hAnsi="Calibri" w:cs="Calibri"/>
          <w:b/>
          <w:sz w:val="26"/>
          <w:szCs w:val="26"/>
        </w:rPr>
        <w:t xml:space="preserve">          </w:t>
      </w:r>
    </w:p>
    <w:p w14:paraId="2B8B538B" w14:textId="77777777" w:rsidR="005318AF" w:rsidRDefault="00000000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  <w:r>
        <w:rPr>
          <w:rFonts w:ascii="Calibri" w:eastAsia="Calibri" w:hAnsi="Calibri" w:cs="Calibri"/>
          <w:b/>
          <w:color w:val="C00000"/>
          <w:sz w:val="26"/>
          <w:szCs w:val="26"/>
        </w:rPr>
        <w:t xml:space="preserve">OBSERVAÇÃO: </w:t>
      </w:r>
      <w:r>
        <w:rPr>
          <w:rFonts w:ascii="Calibri" w:eastAsia="Calibri" w:hAnsi="Calibri" w:cs="Calibri"/>
          <w:b/>
          <w:sz w:val="26"/>
          <w:szCs w:val="26"/>
        </w:rPr>
        <w:t xml:space="preserve">As custas e demais despesas processuais, inclusive eventuais honorários sucumbenciais, serão de responsabilidade dos autores. </w:t>
      </w:r>
    </w:p>
    <w:p w14:paraId="1B10D809" w14:textId="77777777" w:rsidR="005318AF" w:rsidRDefault="005318AF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  <w:sz w:val="26"/>
          <w:szCs w:val="26"/>
        </w:rPr>
      </w:pPr>
    </w:p>
    <w:p w14:paraId="703C9141" w14:textId="77777777" w:rsidR="005318AF" w:rsidRDefault="00000000">
      <w:pPr>
        <w:tabs>
          <w:tab w:val="left" w:pos="9213"/>
        </w:tabs>
        <w:spacing w:line="360" w:lineRule="auto"/>
        <w:ind w:left="1" w:right="-1" w:hanging="3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b/>
          <w:sz w:val="26"/>
          <w:szCs w:val="26"/>
        </w:rPr>
        <w:t xml:space="preserve">Para viabilizar o rápido e fácil contato, evitando atrasos no pagamento das custas judiciais (que podem até levar à extinção do processo), é imprescindível que o filiado mantenha sempre atualizados seus dados cadastrais junto ao </w:t>
      </w:r>
      <w:proofErr w:type="spellStart"/>
      <w:r>
        <w:rPr>
          <w:rFonts w:ascii="Calibri" w:eastAsia="Calibri" w:hAnsi="Calibri" w:cs="Calibri"/>
          <w:b/>
          <w:sz w:val="26"/>
          <w:szCs w:val="26"/>
        </w:rPr>
        <w:t>Sinafresp</w:t>
      </w:r>
      <w:proofErr w:type="spellEnd"/>
      <w:r>
        <w:rPr>
          <w:rFonts w:ascii="Calibri" w:eastAsia="Calibri" w:hAnsi="Calibri" w:cs="Calibri"/>
          <w:b/>
          <w:sz w:val="26"/>
          <w:szCs w:val="26"/>
        </w:rPr>
        <w:t>.</w:t>
      </w:r>
    </w:p>
    <w:p w14:paraId="5E9D6F76" w14:textId="77777777" w:rsidR="005318AF" w:rsidRDefault="005318AF">
      <w:pPr>
        <w:spacing w:line="24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</w:p>
    <w:p w14:paraId="58C9DDA7" w14:textId="77777777" w:rsidR="005318AF" w:rsidRDefault="005318AF">
      <w:pPr>
        <w:spacing w:line="24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</w:p>
    <w:p w14:paraId="567768AC" w14:textId="77777777" w:rsidR="00617872" w:rsidRDefault="00617872">
      <w:pPr>
        <w:spacing w:line="240" w:lineRule="auto"/>
        <w:ind w:left="1" w:hanging="3"/>
        <w:jc w:val="center"/>
        <w:rPr>
          <w:rFonts w:ascii="Calibri" w:eastAsia="Calibri" w:hAnsi="Calibri" w:cs="Calibri"/>
          <w:sz w:val="28"/>
          <w:szCs w:val="28"/>
        </w:rPr>
      </w:pPr>
    </w:p>
    <w:p w14:paraId="53493D10" w14:textId="77777777" w:rsidR="005318AF" w:rsidRDefault="00000000">
      <w:pPr>
        <w:spacing w:line="240" w:lineRule="auto"/>
        <w:ind w:left="1" w:hanging="3"/>
        <w:jc w:val="center"/>
        <w:rPr>
          <w:sz w:val="28"/>
          <w:szCs w:val="28"/>
        </w:rPr>
      </w:pPr>
      <w:r>
        <w:rPr>
          <w:rFonts w:ascii="Calibri" w:eastAsia="Calibri" w:hAnsi="Calibri" w:cs="Calibri"/>
          <w:b/>
          <w:sz w:val="28"/>
          <w:szCs w:val="28"/>
        </w:rPr>
        <w:lastRenderedPageBreak/>
        <w:t>PROCURAÇÃO</w:t>
      </w:r>
    </w:p>
    <w:p w14:paraId="3BB87025" w14:textId="77777777" w:rsidR="005318AF" w:rsidRDefault="005318AF">
      <w:pPr>
        <w:spacing w:line="240" w:lineRule="auto"/>
        <w:ind w:left="0" w:hanging="2"/>
        <w:jc w:val="both"/>
      </w:pPr>
    </w:p>
    <w:p w14:paraId="2DB31369" w14:textId="77777777" w:rsidR="005318AF" w:rsidRDefault="005318AF">
      <w:pPr>
        <w:spacing w:line="240" w:lineRule="auto"/>
        <w:ind w:left="0" w:hanging="2"/>
        <w:jc w:val="both"/>
      </w:pPr>
    </w:p>
    <w:p w14:paraId="79B2CC88" w14:textId="5CCE3CC3" w:rsidR="00617872" w:rsidRDefault="00617872" w:rsidP="00617872">
      <w:pPr>
        <w:spacing w:after="80" w:line="240" w:lineRule="auto"/>
        <w:ind w:leftChars="235" w:left="566" w:right="-142" w:hanging="2"/>
        <w:jc w:val="both"/>
        <w:rPr>
          <w:rFonts w:ascii="Calibri" w:eastAsia="Calibri" w:hAnsi="Calibri" w:cs="Calibri"/>
          <w:b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        OUTORGANTE:     </w:t>
      </w:r>
    </w:p>
    <w:p w14:paraId="1564DC55" w14:textId="77777777" w:rsidR="00617872" w:rsidRDefault="00617872" w:rsidP="00617872">
      <w:pPr>
        <w:spacing w:after="80" w:line="240" w:lineRule="auto"/>
        <w:ind w:leftChars="235" w:left="566" w:right="-142" w:hanging="2"/>
        <w:jc w:val="both"/>
        <w:rPr>
          <w:rFonts w:ascii="Calibri" w:eastAsia="Calibri" w:hAnsi="Calibri" w:cs="Calibri"/>
          <w:b/>
          <w:sz w:val="20"/>
          <w:szCs w:val="20"/>
        </w:rPr>
      </w:pPr>
    </w:p>
    <w:p w14:paraId="49FC6010" w14:textId="3F88D0F9" w:rsidR="005318AF" w:rsidRDefault="00000000" w:rsidP="00617872">
      <w:pPr>
        <w:spacing w:after="80" w:line="240" w:lineRule="auto"/>
        <w:ind w:leftChars="412" w:left="991" w:right="-142" w:hanging="2"/>
        <w:jc w:val="both"/>
      </w:pP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</w:t>
      </w:r>
      <w:r>
        <w:rPr>
          <w:rFonts w:ascii="Calibri" w:eastAsia="Calibri" w:hAnsi="Calibri" w:cs="Calibri"/>
          <w:sz w:val="20"/>
          <w:szCs w:val="20"/>
          <w:u w:val="single"/>
        </w:rPr>
        <w:t>______________________________________________________________________</w:t>
      </w:r>
      <w:r w:rsidR="00617872">
        <w:rPr>
          <w:rFonts w:ascii="Calibri" w:eastAsia="Calibri" w:hAnsi="Calibri" w:cs="Calibri"/>
          <w:sz w:val="20"/>
          <w:szCs w:val="20"/>
          <w:u w:val="single"/>
        </w:rPr>
        <w:t>__________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                   </w:t>
      </w:r>
    </w:p>
    <w:p w14:paraId="71FE1323" w14:textId="5B5D7AC3" w:rsidR="005318AF" w:rsidRDefault="00000000" w:rsidP="00617872">
      <w:pPr>
        <w:spacing w:after="80" w:line="240" w:lineRule="auto"/>
        <w:ind w:leftChars="412" w:left="991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 xml:space="preserve">Nome     </w:t>
      </w:r>
    </w:p>
    <w:p w14:paraId="3B3110F0" w14:textId="77777777" w:rsidR="005318AF" w:rsidRDefault="00000000" w:rsidP="00617872">
      <w:pPr>
        <w:spacing w:after="80" w:line="240" w:lineRule="auto"/>
        <w:ind w:leftChars="412" w:left="991" w:hanging="2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</w:rPr>
        <w:tab/>
        <w:t xml:space="preserve">         </w:t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____________        </w:t>
      </w:r>
      <w:r>
        <w:rPr>
          <w:rFonts w:ascii="Calibri" w:eastAsia="Calibri" w:hAnsi="Calibri" w:cs="Calibri"/>
          <w:sz w:val="20"/>
          <w:szCs w:val="20"/>
        </w:rPr>
        <w:t xml:space="preserve">             </w:t>
      </w:r>
      <w:r>
        <w:rPr>
          <w:rFonts w:ascii="Calibri" w:eastAsia="Calibri" w:hAnsi="Calibri" w:cs="Calibri"/>
          <w:sz w:val="20"/>
          <w:szCs w:val="20"/>
          <w:u w:val="single"/>
        </w:rPr>
        <w:t>_______________________________________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 xml:space="preserve"> </w:t>
      </w:r>
    </w:p>
    <w:p w14:paraId="64639E54" w14:textId="77777777" w:rsidR="005318AF" w:rsidRDefault="00000000" w:rsidP="00617872">
      <w:pPr>
        <w:spacing w:after="80" w:line="240" w:lineRule="auto"/>
        <w:ind w:leftChars="412" w:left="991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Nacionalidade</w:t>
      </w:r>
      <w:r>
        <w:rPr>
          <w:rFonts w:ascii="Calibri" w:eastAsia="Calibri" w:hAnsi="Calibri" w:cs="Calibri"/>
          <w:b/>
          <w:i/>
          <w:sz w:val="20"/>
          <w:szCs w:val="20"/>
        </w:rPr>
        <w:tab/>
        <w:t xml:space="preserve">         Estado civil                            Profissão</w:t>
      </w:r>
    </w:p>
    <w:p w14:paraId="5CBDDFDE" w14:textId="77777777" w:rsidR="005318AF" w:rsidRDefault="00000000" w:rsidP="00617872">
      <w:pPr>
        <w:spacing w:after="80" w:line="240" w:lineRule="auto"/>
        <w:ind w:leftChars="412" w:left="991" w:right="-143" w:hanging="2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 xml:space="preserve">   ___________________________________________________________________            _         _        </w:t>
      </w:r>
    </w:p>
    <w:p w14:paraId="7B42424E" w14:textId="77777777" w:rsidR="005318AF" w:rsidRDefault="00000000" w:rsidP="00617872">
      <w:pPr>
        <w:spacing w:after="80" w:line="240" w:lineRule="auto"/>
        <w:ind w:leftChars="412" w:left="991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 xml:space="preserve">Endereço residencial  </w:t>
      </w:r>
    </w:p>
    <w:p w14:paraId="37F69170" w14:textId="77777777" w:rsidR="005318AF" w:rsidRDefault="00000000" w:rsidP="00617872">
      <w:pPr>
        <w:spacing w:after="80" w:line="240" w:lineRule="auto"/>
        <w:ind w:leftChars="412" w:left="991" w:hanging="2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  <w:t xml:space="preserve">               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  <w:u w:val="single"/>
        </w:rPr>
        <w:t>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</w:r>
      <w:r>
        <w:rPr>
          <w:rFonts w:ascii="Calibri" w:eastAsia="Calibri" w:hAnsi="Calibri" w:cs="Calibri"/>
          <w:sz w:val="20"/>
          <w:szCs w:val="20"/>
        </w:rPr>
        <w:t xml:space="preserve">           </w:t>
      </w:r>
      <w:r>
        <w:rPr>
          <w:rFonts w:ascii="Calibri" w:eastAsia="Calibri" w:hAnsi="Calibri" w:cs="Calibri"/>
          <w:sz w:val="20"/>
          <w:szCs w:val="20"/>
          <w:u w:val="single"/>
        </w:rPr>
        <w:t>(       )____________________</w:t>
      </w:r>
    </w:p>
    <w:p w14:paraId="09364D22" w14:textId="77777777" w:rsidR="005318AF" w:rsidRDefault="00000000" w:rsidP="00617872">
      <w:pPr>
        <w:spacing w:after="80" w:line="240" w:lineRule="auto"/>
        <w:ind w:leftChars="412" w:left="991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Cidade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>CEP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 xml:space="preserve">           Telefone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</w:p>
    <w:p w14:paraId="0339C3DB" w14:textId="77777777" w:rsidR="005318AF" w:rsidRDefault="00000000" w:rsidP="00617872">
      <w:pPr>
        <w:spacing w:after="80" w:line="240" w:lineRule="auto"/>
        <w:ind w:leftChars="412" w:left="991" w:hanging="2"/>
        <w:jc w:val="both"/>
      </w:pPr>
      <w:r>
        <w:rPr>
          <w:rFonts w:ascii="Calibri" w:eastAsia="Calibri" w:hAnsi="Calibri" w:cs="Calibri"/>
          <w:sz w:val="20"/>
          <w:szCs w:val="20"/>
          <w:u w:val="single"/>
        </w:rPr>
        <w:t>_______________________</w:t>
      </w:r>
      <w:r>
        <w:rPr>
          <w:rFonts w:ascii="Calibri" w:eastAsia="Calibri" w:hAnsi="Calibri" w:cs="Calibri"/>
          <w:sz w:val="20"/>
          <w:szCs w:val="20"/>
          <w:u w:val="single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  <w:u w:val="single"/>
        </w:rPr>
        <w:t xml:space="preserve">                 _______________________</w:t>
      </w:r>
    </w:p>
    <w:p w14:paraId="5A1B6C5E" w14:textId="77777777" w:rsidR="005318AF" w:rsidRDefault="00000000" w:rsidP="00617872">
      <w:pPr>
        <w:spacing w:after="80" w:line="360" w:lineRule="auto"/>
        <w:ind w:leftChars="412" w:left="991" w:hanging="2"/>
        <w:jc w:val="both"/>
      </w:pPr>
      <w:r>
        <w:rPr>
          <w:rFonts w:ascii="Calibri" w:eastAsia="Calibri" w:hAnsi="Calibri" w:cs="Calibri"/>
          <w:b/>
          <w:i/>
          <w:sz w:val="20"/>
          <w:szCs w:val="20"/>
        </w:rPr>
        <w:t>RG</w:t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ab/>
        <w:t>CPF/MF</w:t>
      </w:r>
      <w:r>
        <w:rPr>
          <w:rFonts w:ascii="Calibri" w:eastAsia="Calibri" w:hAnsi="Calibri" w:cs="Calibri"/>
          <w:sz w:val="20"/>
          <w:szCs w:val="20"/>
        </w:rPr>
        <w:t xml:space="preserve"> </w:t>
      </w:r>
    </w:p>
    <w:p w14:paraId="69193AC0" w14:textId="77777777" w:rsidR="005318AF" w:rsidRDefault="00000000" w:rsidP="00617872">
      <w:pPr>
        <w:spacing w:before="60" w:after="80" w:line="240" w:lineRule="auto"/>
        <w:ind w:leftChars="412" w:left="991" w:hanging="2"/>
        <w:jc w:val="both"/>
        <w:rPr>
          <w:u w:val="single"/>
        </w:rPr>
      </w:pPr>
      <w:r>
        <w:rPr>
          <w:rFonts w:ascii="Calibri" w:eastAsia="Calibri" w:hAnsi="Calibri" w:cs="Calibri"/>
          <w:sz w:val="20"/>
          <w:szCs w:val="20"/>
          <w:u w:val="single"/>
        </w:rPr>
        <w:t>______________________________                                                                                                                  .</w:t>
      </w:r>
    </w:p>
    <w:p w14:paraId="07EFB81D" w14:textId="77777777" w:rsidR="005318AF" w:rsidRDefault="00000000" w:rsidP="00617872">
      <w:pPr>
        <w:spacing w:before="60" w:after="80" w:line="240" w:lineRule="auto"/>
        <w:ind w:leftChars="412" w:left="991" w:hanging="2"/>
        <w:jc w:val="both"/>
      </w:pP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b/>
          <w:i/>
          <w:sz w:val="20"/>
          <w:szCs w:val="20"/>
        </w:rPr>
        <w:t>E-mail</w:t>
      </w:r>
    </w:p>
    <w:p w14:paraId="1276D447" w14:textId="77777777" w:rsidR="005318AF" w:rsidRDefault="005318AF" w:rsidP="00617872">
      <w:pPr>
        <w:spacing w:line="240" w:lineRule="auto"/>
        <w:ind w:leftChars="235" w:left="566" w:hanging="2"/>
        <w:jc w:val="both"/>
      </w:pPr>
    </w:p>
    <w:p w14:paraId="73BA73EB" w14:textId="77777777" w:rsidR="005318AF" w:rsidRDefault="005318AF" w:rsidP="00617872">
      <w:pPr>
        <w:spacing w:line="240" w:lineRule="auto"/>
        <w:ind w:leftChars="235" w:left="566" w:hanging="2"/>
        <w:jc w:val="both"/>
      </w:pPr>
    </w:p>
    <w:p w14:paraId="52FDED30" w14:textId="7819927F" w:rsidR="005318AF" w:rsidRDefault="00000000" w:rsidP="00617872">
      <w:pPr>
        <w:spacing w:line="240" w:lineRule="auto"/>
        <w:ind w:leftChars="235" w:left="566" w:right="-143"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OUTORGADOS: </w:t>
      </w:r>
      <w:r w:rsidR="0066110A">
        <w:rPr>
          <w:rFonts w:ascii="Calibri" w:eastAsia="Calibri" w:hAnsi="Calibri" w:cs="Calibri"/>
          <w:b/>
          <w:sz w:val="22"/>
          <w:szCs w:val="22"/>
        </w:rPr>
        <w:t>THIAGO CARNEIRO ALVES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176.385, </w:t>
      </w:r>
      <w:r w:rsidR="0066110A">
        <w:rPr>
          <w:rFonts w:ascii="Calibri" w:eastAsia="Calibri" w:hAnsi="Calibri" w:cs="Calibri"/>
          <w:b/>
          <w:sz w:val="22"/>
          <w:szCs w:val="22"/>
        </w:rPr>
        <w:t>THIAGO DURANTE DA COSTA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205.108, </w:t>
      </w:r>
      <w:r w:rsidR="0066110A">
        <w:rPr>
          <w:rFonts w:ascii="Calibri" w:eastAsia="Calibri" w:hAnsi="Calibri" w:cs="Calibri"/>
          <w:b/>
          <w:sz w:val="22"/>
          <w:szCs w:val="22"/>
        </w:rPr>
        <w:t>FREDERICO DOS SANTOS FRANÇA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299.295, </w:t>
      </w:r>
      <w:r w:rsidR="0066110A">
        <w:rPr>
          <w:rFonts w:ascii="Calibri" w:eastAsia="Calibri" w:hAnsi="Calibri" w:cs="Calibri"/>
          <w:b/>
          <w:sz w:val="22"/>
          <w:szCs w:val="22"/>
        </w:rPr>
        <w:t>LUCAS DE MELO ROCHA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brasileiro, casado, advogado, inscrito na OAB/SP sob o nº 304.919, </w:t>
      </w:r>
      <w:r w:rsidR="0066110A">
        <w:rPr>
          <w:rFonts w:ascii="Calibri" w:eastAsia="Calibri" w:hAnsi="Calibri" w:cs="Calibri"/>
          <w:b/>
          <w:sz w:val="22"/>
          <w:szCs w:val="22"/>
        </w:rPr>
        <w:t>CASSIANO TORRES GEROSA GOMES,</w:t>
      </w:r>
      <w:r w:rsidR="0066110A">
        <w:rPr>
          <w:rFonts w:ascii="Calibri" w:eastAsia="Calibri" w:hAnsi="Calibri" w:cs="Calibri"/>
          <w:sz w:val="22"/>
          <w:szCs w:val="22"/>
        </w:rPr>
        <w:t xml:space="preserve"> brasileiro, casado, advogado, inscrito na OAB/SP sob o nº 172.312, </w:t>
      </w:r>
      <w:r w:rsidR="0066110A">
        <w:rPr>
          <w:rFonts w:ascii="Calibri" w:eastAsia="Calibri" w:hAnsi="Calibri" w:cs="Calibri"/>
          <w:b/>
          <w:sz w:val="22"/>
          <w:szCs w:val="22"/>
        </w:rPr>
        <w:t>JULIANA ORTEGA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brasileira, casada, advogada, inscrita na OAB/SP sob o nº 334.065, </w:t>
      </w:r>
      <w:r w:rsidR="0066110A">
        <w:rPr>
          <w:rFonts w:ascii="Calibri" w:eastAsia="Calibri" w:hAnsi="Calibri" w:cs="Calibri"/>
          <w:b/>
          <w:sz w:val="22"/>
          <w:szCs w:val="22"/>
        </w:rPr>
        <w:t>THAIS CRISTINA SILVA RIBEIRO</w:t>
      </w:r>
      <w:r w:rsidR="0066110A">
        <w:rPr>
          <w:rFonts w:ascii="Calibri" w:eastAsia="Calibri" w:hAnsi="Calibri" w:cs="Calibri"/>
          <w:sz w:val="22"/>
          <w:szCs w:val="22"/>
        </w:rPr>
        <w:t>, brasileira, casada, advogada, inscrita na OAB/SP sob o nº 352.538,</w:t>
      </w:r>
      <w:r w:rsidR="0066110A">
        <w:rPr>
          <w:rFonts w:ascii="Calibri" w:eastAsia="Calibri" w:hAnsi="Calibri" w:cs="Calibri"/>
          <w:b/>
          <w:sz w:val="22"/>
          <w:szCs w:val="22"/>
        </w:rPr>
        <w:t xml:space="preserve"> BRUNO MOREIRA SECAF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brasileiro, solteiro, advogado, inscrito na OAB/SP sob o nº 377.812, </w:t>
      </w:r>
      <w:r w:rsidR="0066110A">
        <w:rPr>
          <w:rFonts w:ascii="Calibri" w:eastAsia="Calibri" w:hAnsi="Calibri" w:cs="Calibri"/>
          <w:b/>
          <w:sz w:val="22"/>
          <w:szCs w:val="22"/>
        </w:rPr>
        <w:t>VANILDA DA GLÓRIA CAETANO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brasileira, solteira, advogada, inscrita na OAB/SP sob o nº 402.010, </w:t>
      </w:r>
      <w:r w:rsidR="0066110A">
        <w:rPr>
          <w:rFonts w:ascii="Calibri" w:eastAsia="Calibri" w:hAnsi="Calibri" w:cs="Calibri"/>
          <w:b/>
          <w:sz w:val="22"/>
          <w:szCs w:val="22"/>
        </w:rPr>
        <w:t>NATÁLIA FERREIRA DE ANDRADE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brasileira, solteira, advogada, inscrita na OAB/SP 475.177, </w:t>
      </w:r>
      <w:r w:rsidR="0066110A">
        <w:rPr>
          <w:rFonts w:ascii="Calibri" w:eastAsia="Calibri" w:hAnsi="Calibri" w:cs="Calibri"/>
          <w:b/>
          <w:sz w:val="22"/>
          <w:szCs w:val="22"/>
        </w:rPr>
        <w:t>GUSTAVO DA ROCHA TEIXEIRA</w:t>
      </w:r>
      <w:r w:rsidR="0066110A">
        <w:rPr>
          <w:rFonts w:ascii="Calibri" w:eastAsia="Calibri" w:hAnsi="Calibri" w:cs="Calibri"/>
          <w:sz w:val="22"/>
          <w:szCs w:val="22"/>
        </w:rPr>
        <w:t xml:space="preserve">, brasileiro, solteiro, assistente jurídico, portador do RG 53969227-X, inscrito no CPF nº 479.705.468-97 e </w:t>
      </w:r>
      <w:r w:rsidR="0066110A" w:rsidRPr="00EB5A7E">
        <w:rPr>
          <w:rFonts w:ascii="Calibri" w:eastAsia="Calibri" w:hAnsi="Calibri" w:cs="Calibri"/>
          <w:b/>
          <w:sz w:val="22"/>
          <w:szCs w:val="22"/>
        </w:rPr>
        <w:t>SÉRGIO LUIZ</w:t>
      </w:r>
      <w:r w:rsidR="0066110A">
        <w:rPr>
          <w:rFonts w:ascii="Calibri" w:eastAsia="Calibri" w:hAnsi="Calibri" w:cs="Calibri"/>
          <w:b/>
          <w:sz w:val="22"/>
          <w:szCs w:val="22"/>
        </w:rPr>
        <w:t xml:space="preserve"> </w:t>
      </w:r>
      <w:r w:rsidR="0066110A" w:rsidRPr="00EB5A7E">
        <w:rPr>
          <w:rFonts w:ascii="Calibri" w:eastAsia="Calibri" w:hAnsi="Calibri" w:cs="Calibri"/>
          <w:b/>
          <w:sz w:val="22"/>
          <w:szCs w:val="22"/>
        </w:rPr>
        <w:t>SILVA JÚNIOR</w:t>
      </w:r>
      <w:r w:rsidR="0066110A" w:rsidRPr="0023734D">
        <w:rPr>
          <w:rFonts w:ascii="Calibri" w:eastAsia="Calibri" w:hAnsi="Calibri" w:cs="Calibri"/>
          <w:bCs/>
          <w:sz w:val="22"/>
          <w:szCs w:val="22"/>
        </w:rPr>
        <w:t xml:space="preserve">, brasileiro, solteiro, estagiário, portador do RG 52.956.085-9, inscrito no CPF/MF nº 487.473.568-12, todos com escritório na Rua Maria Paula, nº 123, 4º andar - São Paulo, Capital, </w:t>
      </w:r>
      <w:proofErr w:type="spellStart"/>
      <w:r w:rsidR="0066110A" w:rsidRPr="0023734D">
        <w:rPr>
          <w:rFonts w:ascii="Calibri" w:eastAsia="Calibri" w:hAnsi="Calibri" w:cs="Calibri"/>
          <w:bCs/>
          <w:sz w:val="22"/>
          <w:szCs w:val="22"/>
        </w:rPr>
        <w:t>Tel</w:t>
      </w:r>
      <w:proofErr w:type="spellEnd"/>
      <w:r w:rsidR="0066110A" w:rsidRPr="0023734D">
        <w:rPr>
          <w:rFonts w:ascii="Calibri" w:eastAsia="Calibri" w:hAnsi="Calibri" w:cs="Calibri"/>
          <w:bCs/>
          <w:sz w:val="22"/>
          <w:szCs w:val="22"/>
        </w:rPr>
        <w:t>: 3113-4000, endereço eletrônico intimacoes@sinafresp.org.br</w:t>
      </w:r>
      <w:r w:rsidR="0066110A">
        <w:rPr>
          <w:rFonts w:ascii="Calibri" w:eastAsia="Calibri" w:hAnsi="Calibri" w:cs="Calibri"/>
          <w:bCs/>
          <w:sz w:val="22"/>
          <w:szCs w:val="22"/>
        </w:rPr>
        <w:t>.</w:t>
      </w:r>
    </w:p>
    <w:p w14:paraId="72813D26" w14:textId="77777777" w:rsidR="005318AF" w:rsidRDefault="005318AF" w:rsidP="00617872">
      <w:pPr>
        <w:spacing w:line="240" w:lineRule="auto"/>
        <w:ind w:leftChars="235" w:left="566" w:right="-143" w:hanging="2"/>
        <w:jc w:val="both"/>
        <w:rPr>
          <w:rFonts w:ascii="Calibri" w:eastAsia="Calibri" w:hAnsi="Calibri" w:cs="Calibri"/>
          <w:sz w:val="20"/>
          <w:szCs w:val="20"/>
        </w:rPr>
      </w:pPr>
    </w:p>
    <w:p w14:paraId="6313DE87" w14:textId="77777777" w:rsidR="005318AF" w:rsidRDefault="005318AF" w:rsidP="00617872">
      <w:pPr>
        <w:spacing w:line="240" w:lineRule="auto"/>
        <w:ind w:leftChars="235" w:left="566" w:right="-143" w:hanging="2"/>
        <w:jc w:val="both"/>
      </w:pPr>
    </w:p>
    <w:p w14:paraId="0C4CC779" w14:textId="1ECFCE4E" w:rsidR="005318AF" w:rsidRDefault="00000000" w:rsidP="00617872">
      <w:pPr>
        <w:spacing w:line="240" w:lineRule="auto"/>
        <w:ind w:leftChars="235" w:left="566" w:hanging="2"/>
        <w:jc w:val="both"/>
        <w:rPr>
          <w:rFonts w:ascii="Calibri" w:eastAsia="Calibri" w:hAnsi="Calibri" w:cs="Calibri"/>
          <w:sz w:val="19"/>
          <w:szCs w:val="19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PODERES:    </w:t>
      </w:r>
      <w:r>
        <w:rPr>
          <w:rFonts w:ascii="Calibri" w:eastAsia="Calibri" w:hAnsi="Calibri" w:cs="Calibri"/>
          <w:sz w:val="20"/>
          <w:szCs w:val="20"/>
        </w:rPr>
        <w:t xml:space="preserve">Todos os poderes da cláusula </w:t>
      </w:r>
      <w:r w:rsidRPr="00617872">
        <w:rPr>
          <w:rFonts w:ascii="Calibri" w:eastAsia="Calibri" w:hAnsi="Calibri" w:cs="Calibri"/>
          <w:b/>
          <w:bCs/>
          <w:sz w:val="20"/>
          <w:szCs w:val="20"/>
        </w:rPr>
        <w:t>AD JUDICIA ET EXTRA</w:t>
      </w:r>
      <w:r>
        <w:rPr>
          <w:rFonts w:ascii="Calibri" w:eastAsia="Calibri" w:hAnsi="Calibri" w:cs="Calibri"/>
          <w:sz w:val="20"/>
          <w:szCs w:val="20"/>
        </w:rPr>
        <w:t>, seguindo-a e acompanhando-a em todos os seus termos, bem como defendê-lo nas contrárias, em todas as instâncias ou tribunais, até decisão final, podendo o outorgado praticar todos os atos em direito admitidos, inclusive transigir, desistir, receber, dar quitação, firmar compromissos, bem como substabelecer, em quem convier, com ou sem reserva de iguais, os poderes a ele conferidos e assim todos os atos que se fizerem necessários para o fiel cumprimento deste mandato,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z w:val="19"/>
          <w:szCs w:val="19"/>
        </w:rPr>
        <w:t xml:space="preserve">especificamente para representá-lo (a) em ação judicial que visa obter o recalculo de pensão por morte.  </w:t>
      </w:r>
    </w:p>
    <w:p w14:paraId="788D2C0B" w14:textId="77777777" w:rsidR="005318AF" w:rsidRDefault="00000000">
      <w:pPr>
        <w:spacing w:line="240" w:lineRule="auto"/>
        <w:ind w:left="0" w:right="-143"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                         </w:t>
      </w:r>
    </w:p>
    <w:p w14:paraId="5ADF9FF3" w14:textId="77777777" w:rsidR="005318AF" w:rsidRDefault="005318AF">
      <w:pPr>
        <w:spacing w:line="240" w:lineRule="auto"/>
        <w:ind w:left="0" w:right="-143" w:hanging="2"/>
        <w:jc w:val="both"/>
      </w:pPr>
    </w:p>
    <w:p w14:paraId="2968CDC5" w14:textId="77777777" w:rsidR="00617872" w:rsidRDefault="00617872">
      <w:pPr>
        <w:spacing w:line="240" w:lineRule="auto"/>
        <w:ind w:left="0" w:right="-143" w:hanging="2"/>
        <w:jc w:val="both"/>
      </w:pPr>
    </w:p>
    <w:p w14:paraId="50081427" w14:textId="7EE18F10" w:rsidR="005318AF" w:rsidRDefault="00000000">
      <w:pPr>
        <w:spacing w:line="240" w:lineRule="auto"/>
        <w:ind w:left="0" w:hanging="2"/>
        <w:jc w:val="both"/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</w:rPr>
        <w:t xml:space="preserve">                      </w:t>
      </w:r>
      <w:r w:rsidR="00617872"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  <w:sz w:val="20"/>
          <w:szCs w:val="20"/>
        </w:rPr>
        <w:t xml:space="preserve">São Paulo, </w:t>
      </w:r>
      <w:r>
        <w:rPr>
          <w:rFonts w:ascii="Calibri" w:eastAsia="Calibri" w:hAnsi="Calibri" w:cs="Calibri"/>
          <w:sz w:val="20"/>
          <w:szCs w:val="20"/>
          <w:u w:val="single"/>
        </w:rPr>
        <w:t>____</w:t>
      </w:r>
      <w:r>
        <w:rPr>
          <w:rFonts w:ascii="Calibri" w:eastAsia="Calibri" w:hAnsi="Calibri" w:cs="Calibri"/>
          <w:sz w:val="20"/>
          <w:szCs w:val="20"/>
        </w:rPr>
        <w:t xml:space="preserve"> de </w:t>
      </w:r>
      <w:r>
        <w:rPr>
          <w:rFonts w:ascii="Calibri" w:eastAsia="Calibri" w:hAnsi="Calibri" w:cs="Calibri"/>
          <w:sz w:val="20"/>
          <w:szCs w:val="20"/>
          <w:u w:val="single"/>
        </w:rPr>
        <w:t>____________</w:t>
      </w:r>
      <w:r>
        <w:rPr>
          <w:rFonts w:ascii="Calibri" w:eastAsia="Calibri" w:hAnsi="Calibri" w:cs="Calibri"/>
          <w:sz w:val="20"/>
          <w:szCs w:val="20"/>
        </w:rPr>
        <w:t xml:space="preserve"> </w:t>
      </w:r>
      <w:proofErr w:type="spellStart"/>
      <w:r>
        <w:rPr>
          <w:rFonts w:ascii="Calibri" w:eastAsia="Calibri" w:hAnsi="Calibri" w:cs="Calibri"/>
          <w:sz w:val="20"/>
          <w:szCs w:val="20"/>
        </w:rPr>
        <w:t>de</w:t>
      </w:r>
      <w:proofErr w:type="spellEnd"/>
      <w:r>
        <w:rPr>
          <w:rFonts w:ascii="Calibri" w:eastAsia="Calibri" w:hAnsi="Calibri" w:cs="Calibri"/>
          <w:sz w:val="20"/>
          <w:szCs w:val="20"/>
        </w:rPr>
        <w:t xml:space="preserve"> 202</w:t>
      </w:r>
      <w:r>
        <w:rPr>
          <w:rFonts w:ascii="Calibri" w:eastAsia="Calibri" w:hAnsi="Calibri" w:cs="Calibri"/>
          <w:sz w:val="20"/>
          <w:szCs w:val="20"/>
          <w:u w:val="single"/>
        </w:rPr>
        <w:t>_   _</w:t>
      </w:r>
      <w:r>
        <w:rPr>
          <w:rFonts w:ascii="Calibri" w:eastAsia="Calibri" w:hAnsi="Calibri" w:cs="Calibri"/>
          <w:sz w:val="20"/>
          <w:szCs w:val="20"/>
        </w:rPr>
        <w:t>.</w:t>
      </w:r>
    </w:p>
    <w:p w14:paraId="2636ED9A" w14:textId="77777777" w:rsidR="00617872" w:rsidRDefault="00617872">
      <w:pPr>
        <w:spacing w:line="240" w:lineRule="auto"/>
        <w:ind w:left="0" w:hanging="2"/>
        <w:jc w:val="both"/>
      </w:pPr>
    </w:p>
    <w:p w14:paraId="60FA0511" w14:textId="77777777" w:rsidR="005318AF" w:rsidRDefault="005318AF">
      <w:pPr>
        <w:spacing w:line="240" w:lineRule="auto"/>
        <w:ind w:left="0" w:hanging="2"/>
        <w:jc w:val="both"/>
      </w:pPr>
    </w:p>
    <w:p w14:paraId="72A14267" w14:textId="6EDB9627" w:rsidR="005318AF" w:rsidRDefault="00000000">
      <w:pPr>
        <w:spacing w:line="240" w:lineRule="auto"/>
        <w:ind w:left="0" w:hanging="2"/>
        <w:jc w:val="both"/>
      </w:pPr>
      <w:r>
        <w:t xml:space="preserve">                    </w:t>
      </w:r>
      <w:r>
        <w:rPr>
          <w:rFonts w:ascii="Calibri" w:eastAsia="Calibri" w:hAnsi="Calibri" w:cs="Calibri"/>
          <w:b/>
          <w:sz w:val="20"/>
          <w:szCs w:val="20"/>
        </w:rPr>
        <w:t xml:space="preserve"> 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>__________________________________</w:t>
      </w:r>
      <w:r w:rsidR="00617872">
        <w:rPr>
          <w:rFonts w:ascii="Calibri" w:eastAsia="Calibri" w:hAnsi="Calibri" w:cs="Calibri"/>
          <w:b/>
          <w:sz w:val="20"/>
          <w:szCs w:val="20"/>
          <w:u w:val="single"/>
        </w:rPr>
        <w:t>______________</w:t>
      </w:r>
    </w:p>
    <w:p w14:paraId="2F7D5278" w14:textId="4E4A9699" w:rsidR="005318AF" w:rsidRDefault="00617872">
      <w:pPr>
        <w:spacing w:line="240" w:lineRule="auto"/>
        <w:ind w:left="0" w:hanging="2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sz w:val="20"/>
          <w:szCs w:val="20"/>
        </w:rPr>
        <w:t xml:space="preserve">                            (Assinatura)</w:t>
      </w:r>
    </w:p>
    <w:sectPr w:rsidR="005318AF">
      <w:headerReference w:type="default" r:id="rId8"/>
      <w:footerReference w:type="default" r:id="rId9"/>
      <w:pgSz w:w="11906" w:h="16838"/>
      <w:pgMar w:top="142" w:right="1416" w:bottom="1417" w:left="993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C9B2E7" w14:textId="77777777" w:rsidR="00B35E0E" w:rsidRDefault="00B35E0E">
      <w:pPr>
        <w:spacing w:line="240" w:lineRule="auto"/>
        <w:ind w:left="0" w:hanging="2"/>
      </w:pPr>
      <w:r>
        <w:separator/>
      </w:r>
    </w:p>
  </w:endnote>
  <w:endnote w:type="continuationSeparator" w:id="0">
    <w:p w14:paraId="74EC26C4" w14:textId="77777777" w:rsidR="00B35E0E" w:rsidRDefault="00B35E0E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C3D274" w14:textId="77777777" w:rsidR="005318AF" w:rsidRDefault="00000000">
    <w:pPr>
      <w:tabs>
        <w:tab w:val="center" w:pos="4252"/>
        <w:tab w:val="right" w:pos="8504"/>
      </w:tabs>
      <w:spacing w:line="240" w:lineRule="auto"/>
      <w:ind w:left="0" w:hanging="2"/>
      <w:jc w:val="right"/>
    </w:pPr>
    <w:r>
      <w:fldChar w:fldCharType="begin"/>
    </w:r>
    <w:r>
      <w:instrText>PAGE</w:instrText>
    </w:r>
    <w:r>
      <w:fldChar w:fldCharType="separate"/>
    </w:r>
    <w:r w:rsidR="00E1340A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6FC549" w14:textId="77777777" w:rsidR="00B35E0E" w:rsidRDefault="00B35E0E">
      <w:pPr>
        <w:spacing w:line="240" w:lineRule="auto"/>
        <w:ind w:left="0" w:hanging="2"/>
      </w:pPr>
      <w:r>
        <w:separator/>
      </w:r>
    </w:p>
  </w:footnote>
  <w:footnote w:type="continuationSeparator" w:id="0">
    <w:p w14:paraId="034D33DF" w14:textId="77777777" w:rsidR="00B35E0E" w:rsidRDefault="00B35E0E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EE4293" w14:textId="77777777" w:rsidR="005318AF" w:rsidRDefault="005318AF">
    <w:pPr>
      <w:spacing w:before="708" w:line="240" w:lineRule="auto"/>
      <w:ind w:left="0" w:hanging="2"/>
      <w:rPr>
        <w:rFonts w:ascii="Verdana" w:eastAsia="Verdana" w:hAnsi="Verdana" w:cs="Verdan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318AF"/>
    <w:rsid w:val="00102598"/>
    <w:rsid w:val="005318AF"/>
    <w:rsid w:val="00617872"/>
    <w:rsid w:val="0066110A"/>
    <w:rsid w:val="007065F5"/>
    <w:rsid w:val="00B07973"/>
    <w:rsid w:val="00B35E0E"/>
    <w:rsid w:val="00E134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FE73F4"/>
  <w15:docId w15:val="{9EFAEEDA-BF93-4DBC-90EF-4CD11B9EF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pBdr>
        <w:top w:val="nil"/>
        <w:left w:val="nil"/>
        <w:bottom w:val="nil"/>
        <w:right w:val="nil"/>
        <w:between w:val="nil"/>
      </w:pBd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color w:val="000000"/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480" w:line="276" w:lineRule="auto"/>
    </w:pPr>
    <w:rPr>
      <w:rFonts w:ascii="Cambria" w:hAnsi="Cambria"/>
      <w:b/>
      <w:bCs/>
      <w:color w:val="365F91"/>
      <w:sz w:val="28"/>
      <w:szCs w:val="28"/>
      <w:lang w:eastAsia="en-US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200" w:line="276" w:lineRule="auto"/>
      <w:outlineLvl w:val="2"/>
    </w:pPr>
    <w:rPr>
      <w:rFonts w:ascii="Cambria" w:hAnsi="Cambria"/>
      <w:b/>
      <w:bCs/>
      <w:color w:val="4F81BD"/>
      <w:sz w:val="22"/>
      <w:szCs w:val="22"/>
      <w:lang w:eastAsia="en-US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pBdr>
        <w:top w:val="none" w:sz="0" w:space="0" w:color="auto"/>
        <w:left w:val="none" w:sz="0" w:space="0" w:color="auto"/>
        <w:bottom w:val="single" w:sz="8" w:space="4" w:color="4F81BD"/>
        <w:right w:val="none" w:sz="0" w:space="0" w:color="auto"/>
        <w:between w:val="none" w:sz="0" w:space="0" w:color="auto"/>
      </w:pBdr>
      <w:spacing w:after="300"/>
      <w:contextualSpacing/>
    </w:pPr>
    <w:rPr>
      <w:rFonts w:ascii="Cambria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color w:val="365F91"/>
      <w:w w:val="100"/>
      <w:position w:val="-1"/>
      <w:sz w:val="28"/>
      <w:szCs w:val="28"/>
      <w:effect w:val="none"/>
      <w:vertAlign w:val="baseline"/>
      <w:cs w:val="0"/>
      <w:em w:val="none"/>
    </w:rPr>
  </w:style>
  <w:style w:type="character" w:customStyle="1" w:styleId="Ttulo3Char">
    <w:name w:val="Título 3 Char"/>
    <w:rPr>
      <w:rFonts w:ascii="Cambria" w:eastAsia="Times New Roman" w:hAnsi="Cambria" w:cs="Times New Roman"/>
      <w:b/>
      <w:bCs/>
      <w:color w:val="4F81BD"/>
      <w:w w:val="100"/>
      <w:position w:val="-1"/>
      <w:effect w:val="none"/>
      <w:vertAlign w:val="baseline"/>
      <w:cs w:val="0"/>
      <w:em w:val="none"/>
    </w:rPr>
  </w:style>
  <w:style w:type="character" w:customStyle="1" w:styleId="TtuloChar">
    <w:name w:val="Título Char"/>
    <w:rPr>
      <w:rFonts w:ascii="Cambria" w:eastAsia="Times New Roman" w:hAnsi="Cambria" w:cs="Times New Roman"/>
      <w:color w:val="17365D"/>
      <w:spacing w:val="5"/>
      <w:w w:val="100"/>
      <w:kern w:val="28"/>
      <w:position w:val="-1"/>
      <w:sz w:val="52"/>
      <w:szCs w:val="52"/>
      <w:effect w:val="none"/>
      <w:vertAlign w:val="baseline"/>
      <w:cs w:val="0"/>
      <w:em w:val="none"/>
    </w:rPr>
  </w:style>
  <w:style w:type="paragraph" w:styleId="PargrafodaLista">
    <w:name w:val="List Paragraph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200" w:line="276" w:lineRule="auto"/>
      <w:ind w:left="720"/>
      <w:contextualSpacing/>
    </w:pPr>
    <w:rPr>
      <w:rFonts w:ascii="Calibri" w:eastAsia="Calibri" w:hAnsi="Calibri"/>
      <w:color w:val="auto"/>
      <w:sz w:val="22"/>
      <w:szCs w:val="22"/>
      <w:lang w:eastAsia="en-US"/>
    </w:rPr>
  </w:style>
  <w:style w:type="paragraph" w:styleId="CabealhodoSumrio">
    <w:name w:val="TOC Heading"/>
    <w:basedOn w:val="Ttulo1"/>
    <w:next w:val="Normal"/>
    <w:qFormat/>
    <w:pPr>
      <w:outlineLvl w:val="9"/>
    </w:pPr>
  </w:style>
  <w:style w:type="character" w:styleId="Hyperlink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Textodebalo">
    <w:name w:val="Balloon Text"/>
    <w:basedOn w:val="Normal"/>
    <w:qFormat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rPr>
      <w:rFonts w:ascii="Tahoma" w:eastAsia="Times New Roman" w:hAnsi="Tahoma" w:cs="Tahoma"/>
      <w:color w:val="000000"/>
      <w:w w:val="100"/>
      <w:position w:val="-1"/>
      <w:sz w:val="16"/>
      <w:szCs w:val="16"/>
      <w:effect w:val="none"/>
      <w:vertAlign w:val="baseline"/>
      <w:cs w:val="0"/>
      <w:em w:val="none"/>
      <w:lang w:eastAsia="pt-BR"/>
    </w:rPr>
  </w:style>
  <w:style w:type="paragraph" w:styleId="NormalWeb">
    <w:name w:val="Normal (Web)"/>
    <w:basedOn w:val="Normal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</w:pPr>
    <w:rPr>
      <w:color w:val="auto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Eef7Sqs18YKzPFVM31jqVf8QFkw==">AMUW2mUj9fz65JBxv+mxxtMUKkBoEEmsD08S9Qr1TceYObMzxU/Uu1AcM8Sw2kvKVuSqu0cLG8A/KAwbzsa0Zo8rAALdlgoJByeupvsmepp6MEmkWRRYcbM=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1256</Words>
  <Characters>6785</Characters>
  <Application>Microsoft Office Word</Application>
  <DocSecurity>0</DocSecurity>
  <Lines>56</Lines>
  <Paragraphs>16</Paragraphs>
  <ScaleCrop>false</ScaleCrop>
  <Company/>
  <LinksUpToDate>false</LinksUpToDate>
  <CharactersWithSpaces>8025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thais</dc:creator>
  <cp:lastModifiedBy>Thais Ribeiro</cp:lastModifiedBy>
  <cp:revision>5</cp:revision>
  <dcterms:created xsi:type="dcterms:W3CDTF">2021-09-17T17:54:00Z</dcterms:created>
  <dcterms:modified xsi:type="dcterms:W3CDTF">2025-02-07T14:13:00Z</dcterms:modified>
</cp:coreProperties>
</file>